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jc w:val="left"/>
        <w:rPr>
          <w:sz w:val="21"/>
          <w:szCs w:val="21"/>
        </w:rPr>
      </w:pPr>
      <w:r>
        <w:rPr>
          <w:rFonts w:ascii="宋体" w:hAnsi="宋体" w:eastAsia="宋体" w:cs="宋体"/>
          <w:kern w:val="0"/>
          <w:sz w:val="21"/>
          <w:szCs w:val="21"/>
          <w:bdr w:val="none" w:color="auto" w:sz="0" w:space="0"/>
          <w:lang w:val="en-US" w:eastAsia="zh-CN" w:bidi="ar"/>
        </w:rPr>
        <w:t>　　</w:t>
      </w:r>
    </w:p>
    <w:tbl>
      <w:tblPr>
        <w:tblW w:w="87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0" w:type="dxa"/>
          <w:bottom w:w="0" w:type="dxa"/>
          <w:right w:w="0" w:type="dxa"/>
        </w:tblCellMar>
      </w:tblPr>
      <w:tblGrid>
        <w:gridCol w:w="1243"/>
        <w:gridCol w:w="7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0" w:type="dxa"/>
            <w:bottom w:w="0" w:type="dxa"/>
            <w:right w:w="0" w:type="dxa"/>
          </w:tblCellMar>
        </w:tblPrEx>
        <w:trPr>
          <w:trHeight w:val="555"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ascii="仿宋_GB2312" w:hAnsi="宋体" w:eastAsia="仿宋_GB2312" w:cs="宋体"/>
                <w:b w:val="0"/>
                <w:color w:val="000000"/>
                <w:kern w:val="0"/>
                <w:sz w:val="28"/>
                <w:szCs w:val="28"/>
                <w:bdr w:val="none" w:color="auto" w:sz="0" w:space="0"/>
                <w:lang w:val="en-US" w:eastAsia="zh-CN" w:bidi="ar"/>
              </w:rPr>
              <w:t>事项名称</w:t>
            </w:r>
          </w:p>
        </w:tc>
        <w:tc>
          <w:tcPr>
            <w:tcW w:w="747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eastAsia="仿宋_GB2312" w:cs="仿宋_GB2312" w:hAnsiTheme="minorHAnsi"/>
                <w:b w:val="0"/>
                <w:kern w:val="0"/>
                <w:sz w:val="32"/>
                <w:szCs w:val="32"/>
                <w:bdr w:val="none" w:color="auto" w:sz="0" w:space="0"/>
                <w:lang w:val="en-US" w:eastAsia="zh-CN" w:bidi="ar"/>
              </w:rPr>
              <w:t>职业卫生技术服务机构备案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0" w:type="dxa"/>
            <w:bottom w:w="0" w:type="dxa"/>
            <w:right w:w="0" w:type="dxa"/>
          </w:tblCellMar>
        </w:tblPrEx>
        <w:trPr>
          <w:trHeight w:val="555"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服务类型</w:t>
            </w:r>
          </w:p>
        </w:tc>
        <w:tc>
          <w:tcPr>
            <w:tcW w:w="747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公共服务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430"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法定依据</w:t>
            </w:r>
          </w:p>
        </w:tc>
        <w:tc>
          <w:tcPr>
            <w:tcW w:w="7479"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pStyle w:val="2"/>
              <w:keepNext w:val="0"/>
              <w:keepLines w:val="0"/>
              <w:widowControl/>
              <w:numPr>
                <w:numId w:val="0"/>
              </w:numPr>
              <w:suppressLineNumbers w:val="0"/>
              <w:tabs>
                <w:tab w:val="left" w:pos="420"/>
                <w:tab w:val="center" w:pos="4201"/>
                <w:tab w:val="right" w:leader="dot" w:pos="9298"/>
              </w:tabs>
              <w:spacing w:before="0" w:beforeAutospacing="0" w:after="0" w:afterAutospacing="0"/>
              <w:ind w:left="420" w:right="0" w:hanging="420" w:firstLineChars="0"/>
            </w:pPr>
            <w:r>
              <w:rPr>
                <w:rFonts w:hint="eastAsia" w:ascii="宋体" w:hAnsi="宋体" w:eastAsia="宋体" w:cs="宋体"/>
                <w:bdr w:val="none" w:color="auto" w:sz="0" w:space="0"/>
                <w:lang w:val="en-US"/>
              </w:rPr>
              <w:t>1.</w:t>
            </w:r>
            <w:r>
              <w:rPr>
                <w:rFonts w:ascii="Times New Roman" w:hAnsi="Times New Roman" w:cs="Times New Roman"/>
                <w:sz w:val="14"/>
                <w:szCs w:val="14"/>
                <w:bdr w:val="none" w:color="auto" w:sz="0" w:space="0"/>
                <w:lang w:val="en-US"/>
              </w:rPr>
              <w:t xml:space="preserve">       </w:t>
            </w:r>
            <w:r>
              <w:rPr>
                <w:rFonts w:hint="eastAsia" w:ascii="宋体" w:hAnsi="宋体" w:eastAsia="宋体" w:cs="宋体"/>
                <w:bdr w:val="none" w:color="auto" w:sz="0" w:space="0"/>
              </w:rPr>
              <w:t>《福建省市场中介组织管理办法》（福建省人民政府令第</w:t>
            </w:r>
            <w:r>
              <w:rPr>
                <w:rFonts w:hint="eastAsia" w:ascii="宋体" w:hAnsi="宋体" w:eastAsia="宋体" w:cs="宋体"/>
                <w:bdr w:val="none" w:color="auto" w:sz="0" w:space="0"/>
                <w:lang w:val="en-US"/>
              </w:rPr>
              <w:t>116</w:t>
            </w:r>
            <w:r>
              <w:rPr>
                <w:rFonts w:hint="eastAsia" w:ascii="宋体" w:hAnsi="宋体" w:eastAsia="宋体" w:cs="宋体"/>
                <w:bdr w:val="none" w:color="auto" w:sz="0" w:space="0"/>
              </w:rPr>
              <w:t xml:space="preserve">号）； </w:t>
            </w:r>
          </w:p>
          <w:p>
            <w:pPr>
              <w:pStyle w:val="2"/>
              <w:keepNext w:val="0"/>
              <w:keepLines w:val="0"/>
              <w:widowControl/>
              <w:numPr>
                <w:numId w:val="0"/>
              </w:numPr>
              <w:suppressLineNumbers w:val="0"/>
              <w:tabs>
                <w:tab w:val="left" w:pos="420"/>
                <w:tab w:val="center" w:pos="4201"/>
                <w:tab w:val="right" w:leader="dot" w:pos="9298"/>
              </w:tabs>
              <w:spacing w:before="0" w:beforeAutospacing="0" w:after="0" w:afterAutospacing="0"/>
              <w:ind w:left="420" w:right="0" w:hanging="420" w:firstLineChars="0"/>
            </w:pPr>
            <w:r>
              <w:rPr>
                <w:rFonts w:hint="eastAsia" w:ascii="宋体" w:hAnsi="宋体" w:eastAsia="宋体" w:cs="宋体"/>
                <w:bdr w:val="none" w:color="auto" w:sz="0" w:space="0"/>
                <w:lang w:val="en-US"/>
              </w:rPr>
              <w:t>2.</w:t>
            </w:r>
            <w:r>
              <w:rPr>
                <w:rFonts w:hint="default" w:ascii="Times New Roman" w:hAnsi="Times New Roman" w:cs="Times New Roman"/>
                <w:sz w:val="14"/>
                <w:szCs w:val="14"/>
                <w:bdr w:val="none" w:color="auto" w:sz="0" w:space="0"/>
                <w:lang w:val="en-US"/>
              </w:rPr>
              <w:t xml:space="preserve">       </w:t>
            </w:r>
            <w:r>
              <w:rPr>
                <w:rFonts w:hint="eastAsia" w:ascii="宋体" w:hAnsi="宋体" w:eastAsia="宋体" w:cs="宋体"/>
                <w:bdr w:val="none" w:color="auto" w:sz="0" w:space="0"/>
              </w:rPr>
              <w:t>《职业卫生技术服务机构监督管理办法》（国家安全监管总局令第</w:t>
            </w:r>
            <w:r>
              <w:rPr>
                <w:rFonts w:hint="eastAsia" w:ascii="宋体" w:hAnsi="宋体" w:eastAsia="宋体" w:cs="宋体"/>
                <w:bdr w:val="none" w:color="auto" w:sz="0" w:space="0"/>
                <w:lang w:val="en-US"/>
              </w:rPr>
              <w:t>50</w:t>
            </w:r>
            <w:r>
              <w:rPr>
                <w:rFonts w:hint="eastAsia" w:ascii="宋体" w:hAnsi="宋体" w:eastAsia="宋体" w:cs="宋体"/>
                <w:bdr w:val="none" w:color="auto" w:sz="0" w:space="0"/>
              </w:rPr>
              <w:t>号）；</w:t>
            </w:r>
          </w:p>
          <w:p>
            <w:pPr>
              <w:pStyle w:val="2"/>
              <w:keepNext w:val="0"/>
              <w:keepLines w:val="0"/>
              <w:widowControl/>
              <w:numPr>
                <w:numId w:val="0"/>
              </w:numPr>
              <w:suppressLineNumbers w:val="0"/>
              <w:tabs>
                <w:tab w:val="left" w:pos="420"/>
                <w:tab w:val="center" w:pos="4201"/>
                <w:tab w:val="right" w:leader="dot" w:pos="9298"/>
              </w:tabs>
              <w:spacing w:before="0" w:beforeAutospacing="0" w:after="0" w:afterAutospacing="0"/>
              <w:ind w:left="420" w:right="0" w:hanging="420" w:firstLineChars="0"/>
            </w:pPr>
            <w:r>
              <w:rPr>
                <w:rFonts w:hint="eastAsia" w:ascii="宋体" w:hAnsi="宋体" w:eastAsia="宋体" w:cs="宋体"/>
                <w:bdr w:val="none" w:color="auto" w:sz="0" w:space="0"/>
                <w:lang w:val="en-US"/>
              </w:rPr>
              <w:t>3.</w:t>
            </w:r>
            <w:r>
              <w:rPr>
                <w:rFonts w:hint="default" w:ascii="Times New Roman" w:hAnsi="Times New Roman" w:cs="Times New Roman"/>
                <w:sz w:val="14"/>
                <w:szCs w:val="14"/>
                <w:bdr w:val="none" w:color="auto" w:sz="0" w:space="0"/>
                <w:lang w:val="en-US"/>
              </w:rPr>
              <w:t xml:space="preserve">       </w:t>
            </w:r>
            <w:r>
              <w:rPr>
                <w:rFonts w:hint="eastAsia" w:ascii="宋体" w:hAnsi="宋体" w:eastAsia="宋体" w:cs="宋体"/>
                <w:bdr w:val="none" w:color="auto" w:sz="0" w:space="0"/>
              </w:rPr>
              <w:t>《福建省安全生产技术服务机构备案管理办法》（闽安监技术〔</w:t>
            </w:r>
            <w:r>
              <w:rPr>
                <w:rFonts w:hint="eastAsia" w:ascii="宋体" w:hAnsi="宋体" w:eastAsia="宋体" w:cs="宋体"/>
                <w:bdr w:val="none" w:color="auto" w:sz="0" w:space="0"/>
                <w:lang w:val="en-US"/>
              </w:rPr>
              <w:t>2015</w:t>
            </w:r>
            <w:r>
              <w:rPr>
                <w:rFonts w:hint="eastAsia" w:ascii="宋体" w:hAnsi="宋体" w:eastAsia="宋体" w:cs="宋体"/>
                <w:bdr w:val="none" w:color="auto" w:sz="0" w:space="0"/>
              </w:rPr>
              <w:t>〕</w:t>
            </w:r>
            <w:r>
              <w:rPr>
                <w:rFonts w:hint="eastAsia" w:ascii="宋体" w:hAnsi="宋体" w:eastAsia="宋体" w:cs="宋体"/>
                <w:bdr w:val="none" w:color="auto" w:sz="0" w:space="0"/>
                <w:lang w:val="en-US"/>
              </w:rPr>
              <w:t>30</w:t>
            </w:r>
            <w:r>
              <w:rPr>
                <w:rFonts w:hint="eastAsia" w:ascii="宋体" w:hAnsi="宋体" w:eastAsia="宋体" w:cs="宋体"/>
                <w:bdr w:val="none" w:color="auto" w:sz="0" w:space="0"/>
              </w:rPr>
              <w:t>号）；</w:t>
            </w:r>
          </w:p>
          <w:p>
            <w:pPr>
              <w:pStyle w:val="2"/>
              <w:keepNext w:val="0"/>
              <w:keepLines w:val="0"/>
              <w:widowControl/>
              <w:numPr>
                <w:numId w:val="0"/>
              </w:numPr>
              <w:suppressLineNumbers w:val="0"/>
              <w:tabs>
                <w:tab w:val="left" w:pos="420"/>
                <w:tab w:val="center" w:pos="4201"/>
                <w:tab w:val="right" w:leader="dot" w:pos="9298"/>
              </w:tabs>
              <w:spacing w:before="0" w:beforeAutospacing="0" w:after="0" w:afterAutospacing="0"/>
              <w:ind w:left="420" w:right="0" w:hanging="420" w:firstLineChars="0"/>
            </w:pPr>
            <w:r>
              <w:rPr>
                <w:rFonts w:hint="eastAsia" w:ascii="宋体" w:hAnsi="宋体" w:eastAsia="宋体" w:cs="宋体"/>
                <w:color w:val="FF0000"/>
                <w:bdr w:val="none" w:color="auto" w:sz="0" w:space="0"/>
                <w:lang w:val="en-US"/>
              </w:rPr>
              <w:t>4.</w:t>
            </w:r>
            <w:r>
              <w:rPr>
                <w:rFonts w:hint="default" w:ascii="Times New Roman" w:hAnsi="Times New Roman" w:cs="Times New Roman"/>
                <w:color w:val="FF0000"/>
                <w:sz w:val="14"/>
                <w:szCs w:val="14"/>
                <w:bdr w:val="none" w:color="auto" w:sz="0" w:space="0"/>
                <w:lang w:val="en-US"/>
              </w:rPr>
              <w:t xml:space="preserve">       </w:t>
            </w:r>
            <w:r>
              <w:rPr>
                <w:rFonts w:hint="eastAsia" w:ascii="宋体" w:hAnsi="宋体" w:eastAsia="宋体" w:cs="宋体"/>
                <w:bdr w:val="none" w:color="auto" w:sz="0" w:space="0"/>
              </w:rPr>
              <w:t>《福建省行政审批制度改革工作小组办公室关于调整省级行政权力、公共服务事项和原有非行政许可审批项目的通知》（闽审改办〔</w:t>
            </w:r>
            <w:r>
              <w:rPr>
                <w:rFonts w:hint="eastAsia" w:ascii="宋体" w:hAnsi="宋体" w:eastAsia="宋体" w:cs="宋体"/>
                <w:bdr w:val="none" w:color="auto" w:sz="0" w:space="0"/>
                <w:lang w:val="en-US"/>
              </w:rPr>
              <w:t>2015</w:t>
            </w:r>
            <w:r>
              <w:rPr>
                <w:rFonts w:hint="eastAsia" w:ascii="宋体" w:hAnsi="宋体" w:eastAsia="宋体" w:cs="宋体"/>
                <w:bdr w:val="none" w:color="auto" w:sz="0" w:space="0"/>
              </w:rPr>
              <w:t>〕</w:t>
            </w:r>
            <w:r>
              <w:rPr>
                <w:rFonts w:hint="eastAsia" w:ascii="宋体" w:hAnsi="宋体" w:eastAsia="宋体" w:cs="宋体"/>
                <w:bdr w:val="none" w:color="auto" w:sz="0" w:space="0"/>
                <w:lang w:val="en-US"/>
              </w:rPr>
              <w:t>181</w:t>
            </w:r>
            <w:r>
              <w:rPr>
                <w:rFonts w:hint="eastAsia" w:ascii="宋体" w:hAnsi="宋体" w:eastAsia="宋体" w:cs="宋体"/>
                <w:bdr w:val="none" w:color="auto" w:sz="0" w:space="0"/>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0" w:type="dxa"/>
            <w:bottom w:w="0" w:type="dxa"/>
            <w:right w:w="0" w:type="dxa"/>
          </w:tblCellMar>
        </w:tblPrEx>
        <w:trPr>
          <w:trHeight w:val="934"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办理</w:t>
            </w:r>
          </w:p>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条件</w:t>
            </w:r>
          </w:p>
        </w:tc>
        <w:tc>
          <w:tcPr>
            <w:tcW w:w="7479"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ind w:left="0" w:right="0"/>
            </w:pPr>
            <w:r>
              <w:rPr>
                <w:rFonts w:hint="eastAsia" w:ascii="宋体" w:hAnsi="宋体" w:eastAsia="宋体" w:cs="宋体"/>
                <w:bdr w:val="none" w:color="auto" w:sz="0" w:space="0"/>
              </w:rPr>
              <w:t>符合《福建省安全生产技术服务机构备案管理办法》（闽安监技术</w:t>
            </w:r>
            <w:r>
              <w:rPr>
                <w:rFonts w:hint="eastAsia" w:ascii="宋体" w:hAnsi="宋体" w:eastAsia="宋体" w:cs="宋体"/>
                <w:bdr w:val="none" w:color="auto" w:sz="0" w:space="0"/>
                <w:lang w:val="en-US"/>
              </w:rPr>
              <w:t>[2015]30</w:t>
            </w:r>
            <w:r>
              <w:rPr>
                <w:rFonts w:hint="eastAsia" w:ascii="宋体" w:hAnsi="宋体" w:eastAsia="宋体" w:cs="宋体"/>
                <w:bdr w:val="none" w:color="auto" w:sz="0" w:space="0"/>
              </w:rPr>
              <w:t>号）第三、四条规定的机构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0" w:type="dxa"/>
            <w:bottom w:w="0" w:type="dxa"/>
            <w:right w:w="0" w:type="dxa"/>
          </w:tblCellMar>
        </w:tblPrEx>
        <w:trPr>
          <w:trHeight w:val="2015"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办理流程</w:t>
            </w:r>
          </w:p>
        </w:tc>
        <w:tc>
          <w:tcPr>
            <w:tcW w:w="747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窗口受理（办理人：颜小三 承诺办理天数：即办）</w:t>
            </w:r>
          </w:p>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审核（办理人：颜彦 承诺办理天数：即办）</w:t>
            </w:r>
          </w:p>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窗口办结（办理人：颜小三 承诺办理天数：即办）。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申报</w:t>
            </w:r>
          </w:p>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材料</w:t>
            </w:r>
          </w:p>
        </w:tc>
        <w:tc>
          <w:tcPr>
            <w:tcW w:w="747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申请人把下列申请资料（一式一份，需提供原件核对）送交市行政服务中心安监局窗口：</w:t>
            </w:r>
          </w:p>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1、《安全生产技术服务机构备案登记表》（见附件1）；</w:t>
            </w:r>
          </w:p>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2、机构法人营业执照（副本）、资质证书（副本）彩色影印件；</w:t>
            </w:r>
          </w:p>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3、机构法定代表人的身份证彩色影印件；</w:t>
            </w:r>
          </w:p>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4、现行有效的计量认证证书及证书附表复印件。</w:t>
            </w:r>
          </w:p>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5、法定代表人授权的委托书以及受委托人身份证复印件。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法定时限</w:t>
            </w:r>
          </w:p>
        </w:tc>
        <w:tc>
          <w:tcPr>
            <w:tcW w:w="7479"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 xml:space="preserve">10个工作日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承诺时限</w:t>
            </w:r>
          </w:p>
        </w:tc>
        <w:tc>
          <w:tcPr>
            <w:tcW w:w="7479"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即办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办件类型</w:t>
            </w:r>
          </w:p>
        </w:tc>
        <w:tc>
          <w:tcPr>
            <w:tcW w:w="7479"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即办件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收费依据</w:t>
            </w:r>
          </w:p>
        </w:tc>
        <w:tc>
          <w:tcPr>
            <w:tcW w:w="7479"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 xml:space="preserve">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77"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收费标准</w:t>
            </w:r>
          </w:p>
        </w:tc>
        <w:tc>
          <w:tcPr>
            <w:tcW w:w="7479"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 xml:space="preserve">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年检要求</w:t>
            </w:r>
          </w:p>
        </w:tc>
        <w:tc>
          <w:tcPr>
            <w:tcW w:w="7479"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审批决定证件</w:t>
            </w:r>
          </w:p>
        </w:tc>
        <w:tc>
          <w:tcPr>
            <w:tcW w:w="7479"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eastAsia="仿宋_GB2312" w:cs="仿宋_GB2312" w:hAnsiTheme="minorHAnsi"/>
                <w:b w:val="0"/>
                <w:kern w:val="0"/>
                <w:sz w:val="28"/>
                <w:szCs w:val="28"/>
                <w:bdr w:val="none" w:color="auto" w:sz="0" w:space="0"/>
                <w:lang w:val="en-US" w:eastAsia="zh-CN" w:bidi="ar"/>
              </w:rPr>
              <w:t>机构备案证明、项目备案证明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重要提示</w:t>
            </w:r>
          </w:p>
        </w:tc>
        <w:tc>
          <w:tcPr>
            <w:tcW w:w="7479"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pStyle w:val="2"/>
              <w:keepNext w:val="0"/>
              <w:keepLines w:val="0"/>
              <w:widowControl/>
              <w:suppressLineNumbers w:val="0"/>
              <w:spacing w:before="0" w:beforeAutospacing="0" w:after="0" w:afterAutospacing="0" w:line="300" w:lineRule="exact"/>
              <w:ind w:left="0" w:right="0" w:firstLine="0" w:firstLineChars="0"/>
            </w:pPr>
            <w:r>
              <w:rPr>
                <w:rFonts w:hint="default" w:ascii="仿宋_GB2312" w:eastAsia="仿宋_GB2312" w:cs="仿宋_GB2312"/>
                <w:sz w:val="28"/>
                <w:szCs w:val="28"/>
                <w:bdr w:val="none" w:color="auto" w:sz="0" w:space="0"/>
              </w:rPr>
              <w:t>职业卫生技术服务甲级机构跨省服务备案的注意事项：</w:t>
            </w:r>
          </w:p>
          <w:p>
            <w:pPr>
              <w:pStyle w:val="2"/>
              <w:keepNext w:val="0"/>
              <w:keepLines w:val="0"/>
              <w:widowControl/>
              <w:numPr>
                <w:numId w:val="0"/>
              </w:numPr>
              <w:suppressLineNumbers w:val="0"/>
              <w:tabs>
                <w:tab w:val="left" w:pos="840"/>
                <w:tab w:val="center" w:pos="4201"/>
                <w:tab w:val="right" w:leader="dot" w:pos="9298"/>
              </w:tabs>
              <w:spacing w:before="0" w:beforeAutospacing="0" w:after="0" w:afterAutospacing="0" w:line="300" w:lineRule="exact"/>
              <w:ind w:left="840" w:right="0" w:hanging="420" w:firstLineChars="0"/>
            </w:pPr>
            <w:r>
              <w:rPr>
                <w:rFonts w:hint="default" w:ascii="仿宋_GB2312" w:eastAsia="仿宋_GB2312" w:cs="仿宋_GB2312"/>
                <w:sz w:val="28"/>
                <w:szCs w:val="28"/>
                <w:bdr w:val="none" w:color="auto" w:sz="0" w:space="0"/>
                <w:lang w:val="en-US"/>
              </w:rPr>
              <w:t>a)</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已备案的技术服务机构发生下列情形之一的，应将实际发生变更情况，持有关文件资料到原备案受理的设区市安全生产监督管理部门申请信息变更：</w:t>
            </w:r>
          </w:p>
          <w:p>
            <w:pPr>
              <w:pStyle w:val="2"/>
              <w:keepNext w:val="0"/>
              <w:keepLines w:val="0"/>
              <w:widowControl/>
              <w:numPr>
                <w:numId w:val="0"/>
              </w:numPr>
              <w:suppressLineNumbers w:val="0"/>
              <w:tabs>
                <w:tab w:val="left" w:pos="1260"/>
                <w:tab w:val="center" w:pos="4201"/>
                <w:tab w:val="right" w:leader="dot" w:pos="9298"/>
              </w:tabs>
              <w:spacing w:before="0" w:beforeAutospacing="0" w:after="0" w:afterAutospacing="0" w:line="300" w:lineRule="exact"/>
              <w:ind w:left="1260" w:right="0" w:hanging="420" w:firstLineChars="0"/>
            </w:pPr>
            <w:r>
              <w:rPr>
                <w:rFonts w:hint="default" w:ascii="仿宋_GB2312" w:eastAsia="仿宋_GB2312" w:cs="仿宋_GB2312"/>
                <w:sz w:val="28"/>
                <w:szCs w:val="28"/>
                <w:bdr w:val="none" w:color="auto" w:sz="0" w:space="0"/>
                <w:lang w:val="en-US"/>
              </w:rPr>
              <w:t>a)</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营业执照登记事项发生变动的；</w:t>
            </w:r>
          </w:p>
          <w:p>
            <w:pPr>
              <w:pStyle w:val="2"/>
              <w:keepNext w:val="0"/>
              <w:keepLines w:val="0"/>
              <w:widowControl/>
              <w:numPr>
                <w:numId w:val="0"/>
              </w:numPr>
              <w:suppressLineNumbers w:val="0"/>
              <w:tabs>
                <w:tab w:val="left" w:pos="1260"/>
                <w:tab w:val="center" w:pos="4201"/>
                <w:tab w:val="right" w:leader="dot" w:pos="9298"/>
              </w:tabs>
              <w:spacing w:before="0" w:beforeAutospacing="0" w:after="0" w:afterAutospacing="0" w:line="300" w:lineRule="exact"/>
              <w:ind w:left="1260" w:right="0" w:hanging="420" w:firstLineChars="0"/>
            </w:pPr>
            <w:r>
              <w:rPr>
                <w:rFonts w:hint="default" w:ascii="仿宋_GB2312" w:eastAsia="仿宋_GB2312" w:cs="仿宋_GB2312"/>
                <w:sz w:val="28"/>
                <w:szCs w:val="28"/>
                <w:bdr w:val="none" w:color="auto" w:sz="0" w:space="0"/>
                <w:lang w:val="en-US"/>
              </w:rPr>
              <w:t>b)</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资质或资质证书确定的业务范围发生变动的；</w:t>
            </w:r>
          </w:p>
          <w:p>
            <w:pPr>
              <w:pStyle w:val="2"/>
              <w:keepNext w:val="0"/>
              <w:keepLines w:val="0"/>
              <w:widowControl/>
              <w:numPr>
                <w:numId w:val="0"/>
              </w:numPr>
              <w:suppressLineNumbers w:val="0"/>
              <w:tabs>
                <w:tab w:val="left" w:pos="1260"/>
                <w:tab w:val="center" w:pos="4201"/>
                <w:tab w:val="right" w:leader="dot" w:pos="9298"/>
              </w:tabs>
              <w:spacing w:before="0" w:beforeAutospacing="0" w:after="0" w:afterAutospacing="0" w:line="300" w:lineRule="exact"/>
              <w:ind w:left="1260" w:right="0" w:hanging="420" w:firstLineChars="0"/>
            </w:pPr>
            <w:r>
              <w:rPr>
                <w:rFonts w:hint="default" w:ascii="仿宋_GB2312" w:eastAsia="仿宋_GB2312" w:cs="仿宋_GB2312"/>
                <w:sz w:val="28"/>
                <w:szCs w:val="28"/>
                <w:bdr w:val="none" w:color="auto" w:sz="0" w:space="0"/>
                <w:lang w:val="en-US"/>
              </w:rPr>
              <w:t>c)</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技术服务机构负责人、技术负责人、专职执业人员调整变动的；</w:t>
            </w:r>
          </w:p>
          <w:p>
            <w:pPr>
              <w:pStyle w:val="2"/>
              <w:keepNext w:val="0"/>
              <w:keepLines w:val="0"/>
              <w:widowControl/>
              <w:numPr>
                <w:numId w:val="0"/>
              </w:numPr>
              <w:suppressLineNumbers w:val="0"/>
              <w:tabs>
                <w:tab w:val="left" w:pos="1260"/>
                <w:tab w:val="center" w:pos="4201"/>
                <w:tab w:val="right" w:leader="dot" w:pos="9298"/>
              </w:tabs>
              <w:spacing w:before="0" w:beforeAutospacing="0" w:after="0" w:afterAutospacing="0" w:line="300" w:lineRule="exact"/>
              <w:ind w:left="1260" w:right="0" w:hanging="420" w:firstLineChars="0"/>
            </w:pPr>
            <w:r>
              <w:rPr>
                <w:rFonts w:hint="default" w:ascii="仿宋_GB2312" w:eastAsia="仿宋_GB2312" w:cs="仿宋_GB2312"/>
                <w:sz w:val="28"/>
                <w:szCs w:val="28"/>
                <w:bdr w:val="none" w:color="auto" w:sz="0" w:space="0"/>
                <w:lang w:val="en-US"/>
              </w:rPr>
              <w:t>d)</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技术服务机构办公场所发生变动的。</w:t>
            </w:r>
          </w:p>
          <w:p>
            <w:pPr>
              <w:keepNext w:val="0"/>
              <w:keepLines w:val="0"/>
              <w:widowControl/>
              <w:suppressLineNumbers w:val="0"/>
              <w:spacing w:before="0" w:beforeAutospacing="0" w:after="0" w:afterAutospacing="0" w:line="300" w:lineRule="exact"/>
              <w:ind w:left="0" w:right="0"/>
              <w:jc w:val="both"/>
            </w:pPr>
            <w:r>
              <w:rPr>
                <w:rFonts w:hint="default" w:ascii="仿宋_GB2312" w:eastAsia="仿宋_GB2312" w:cs="仿宋_GB2312" w:hAnsiTheme="minorHAnsi"/>
                <w:b w:val="0"/>
                <w:kern w:val="0"/>
                <w:sz w:val="28"/>
                <w:szCs w:val="28"/>
                <w:bdr w:val="none" w:color="auto" w:sz="0" w:space="0"/>
                <w:lang w:val="en-US" w:eastAsia="zh-CN" w:bidi="ar"/>
              </w:rPr>
              <w:t>已备案的技术服务机构每年1月31日前应当将上年度在备案地区工作情况统计表、安全评价工作业绩表报送技术服务项目所在地设区市安全生产监督管理部门。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600"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申请人法律权利及</w:t>
            </w:r>
            <w:r>
              <w:rPr>
                <w:rFonts w:hint="default" w:ascii="仿宋_GB2312" w:hAnsi="宋体" w:eastAsia="仿宋_GB2312" w:cs="宋体"/>
                <w:b w:val="0"/>
                <w:color w:val="000000"/>
                <w:kern w:val="0"/>
                <w:sz w:val="28"/>
                <w:szCs w:val="28"/>
                <w:bdr w:val="none" w:color="auto" w:sz="0" w:space="0"/>
                <w:lang w:val="en-US" w:eastAsia="zh-CN" w:bidi="ar"/>
              </w:rPr>
              <w:br w:type="textWrapping"/>
            </w:r>
            <w:r>
              <w:rPr>
                <w:rFonts w:hint="default" w:ascii="仿宋_GB2312" w:hAnsi="宋体" w:eastAsia="仿宋_GB2312" w:cs="宋体"/>
                <w:b w:val="0"/>
                <w:color w:val="000000"/>
                <w:kern w:val="0"/>
                <w:sz w:val="28"/>
                <w:szCs w:val="28"/>
                <w:bdr w:val="none" w:color="auto" w:sz="0" w:space="0"/>
                <w:lang w:val="en-US" w:eastAsia="zh-CN" w:bidi="ar"/>
              </w:rPr>
              <w:t>申述途径</w:t>
            </w:r>
          </w:p>
        </w:tc>
        <w:tc>
          <w:tcPr>
            <w:tcW w:w="7479"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1.申请人在申请行政许可过程中，依法享有陈述权、申辩权。</w:t>
            </w:r>
            <w:r>
              <w:rPr>
                <w:rFonts w:hint="default" w:ascii="仿宋_GB2312" w:hAnsi="宋体" w:eastAsia="仿宋_GB2312" w:cs="宋体"/>
                <w:b w:val="0"/>
                <w:color w:val="000000"/>
                <w:kern w:val="0"/>
                <w:sz w:val="28"/>
                <w:szCs w:val="28"/>
                <w:bdr w:val="none" w:color="auto" w:sz="0" w:space="0"/>
                <w:lang w:val="en-US" w:eastAsia="zh-CN" w:bidi="ar"/>
              </w:rPr>
              <w:br w:type="textWrapping"/>
            </w:r>
            <w:r>
              <w:rPr>
                <w:rFonts w:hint="default" w:ascii="仿宋_GB2312" w:hAnsi="宋体" w:eastAsia="仿宋_GB2312" w:cs="宋体"/>
                <w:b w:val="0"/>
                <w:color w:val="000000"/>
                <w:kern w:val="0"/>
                <w:sz w:val="28"/>
                <w:szCs w:val="28"/>
                <w:bdr w:val="none" w:color="auto" w:sz="0" w:space="0"/>
                <w:lang w:val="en-US" w:eastAsia="zh-CN" w:bidi="ar"/>
              </w:rPr>
              <w:t>2.申请人的行政许可被驳回的有权要求说明理由。</w:t>
            </w:r>
            <w:r>
              <w:rPr>
                <w:rFonts w:hint="default" w:ascii="仿宋_GB2312" w:hAnsi="宋体" w:eastAsia="仿宋_GB2312" w:cs="宋体"/>
                <w:b w:val="0"/>
                <w:color w:val="000000"/>
                <w:kern w:val="0"/>
                <w:sz w:val="28"/>
                <w:szCs w:val="28"/>
                <w:bdr w:val="none" w:color="auto" w:sz="0" w:space="0"/>
                <w:lang w:val="en-US" w:eastAsia="zh-CN" w:bidi="ar"/>
              </w:rPr>
              <w:br w:type="textWrapping"/>
            </w:r>
            <w:r>
              <w:rPr>
                <w:rFonts w:hint="default" w:ascii="仿宋_GB2312" w:hAnsi="宋体" w:eastAsia="仿宋_GB2312" w:cs="宋体"/>
                <w:b w:val="0"/>
                <w:color w:val="000000"/>
                <w:kern w:val="0"/>
                <w:sz w:val="28"/>
                <w:szCs w:val="28"/>
                <w:bdr w:val="none" w:color="auto" w:sz="0" w:space="0"/>
                <w:lang w:val="en-US" w:eastAsia="zh-CN" w:bidi="ar"/>
              </w:rPr>
              <w:t xml:space="preserve">3.申请人不服行政许可决定的，有权依法申请行政复议或者提起行政诉讼。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窗口单位</w:t>
            </w:r>
          </w:p>
        </w:tc>
        <w:tc>
          <w:tcPr>
            <w:tcW w:w="7479"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 xml:space="preserve">安全生产监督管理局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业务咨询电话</w:t>
            </w:r>
          </w:p>
        </w:tc>
        <w:tc>
          <w:tcPr>
            <w:tcW w:w="7479"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 xml:space="preserve"> 22132256   28380095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05" w:hRule="atLeast"/>
          <w:jc w:val="center"/>
        </w:trPr>
        <w:tc>
          <w:tcPr>
            <w:tcW w:w="124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color w:val="000000"/>
                <w:kern w:val="0"/>
                <w:sz w:val="28"/>
                <w:szCs w:val="28"/>
                <w:bdr w:val="none" w:color="auto" w:sz="0" w:space="0"/>
                <w:lang w:val="en-US" w:eastAsia="zh-CN" w:bidi="ar"/>
              </w:rPr>
              <w:t>投诉电话</w:t>
            </w:r>
          </w:p>
        </w:tc>
        <w:tc>
          <w:tcPr>
            <w:tcW w:w="7479"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 xml:space="preserve"> 22132213（中心）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A962E4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2017-07-25T09:57:08Z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